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</w:t>
      </w:r>
    </w:p>
    <w:p>
      <w:pPr>
        <w:spacing w:line="60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淮南联合大学202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年教师教学能力大赛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参赛材料</w:t>
      </w:r>
    </w:p>
    <w:p>
      <w:pPr>
        <w:spacing w:line="600" w:lineRule="atLeast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及现场决赛有关要求</w:t>
      </w:r>
    </w:p>
    <w:p>
      <w:pPr>
        <w:spacing w:line="600" w:lineRule="atLeast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overflowPunct w:val="0"/>
        <w:spacing w:line="360" w:lineRule="auto"/>
        <w:ind w:firstLine="482" w:firstLineChars="200"/>
        <w:outlineLvl w:val="0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一、参赛作品文档</w:t>
      </w:r>
      <w:r>
        <w:rPr>
          <w:rFonts w:hint="eastAsia" w:asciiTheme="minorEastAsia" w:hAnsiTheme="minorEastAsia"/>
          <w:b/>
          <w:sz w:val="24"/>
          <w:szCs w:val="21"/>
        </w:rPr>
        <w:t>材料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所有文档材料均要求规范、简明、完整、朴实，正文使用小四号字、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1.5倍</w:t>
      </w:r>
      <w:r>
        <w:rPr>
          <w:rFonts w:hint="eastAsia" w:asciiTheme="minorEastAsia" w:hAnsiTheme="minorEastAsia"/>
          <w:sz w:val="24"/>
          <w:szCs w:val="21"/>
        </w:rPr>
        <w:t>行距，禁用以装饰为目的的图片或照片，以PDF格式提交，每个文件大小不超过100M。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（一）参赛教案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  <w:lang w:val="en-US" w:eastAsia="zh-CN"/>
        </w:rPr>
        <w:t>教学团队根据提交的专业人才培养方案和课程标准（或部颁课程标准实施方案），选取该课程在一个学期中符合规定的教学内容，撰写实际使用的教案。教案应包括授课信息、内容分析、学情分析、教学目标、教学策略、教学活动安排、课后反思等教学基本要素，要求设计合理、重点突出、前后衔接、规范完整、详略得当（其中课中教学活动安排占主要篇幅），体现具体的教学内容、活动及时间分配，能够有效指导教学实施，课后对授课实效、改革创新、存在不足及改进设想进行客观深入反思。原则上每份教案的教学时长不超过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学时，专周实习实训、岗位实习，以及有场地设备特殊要求的实训教学内容可连续安排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3-4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学时。专周实习实训、岗位实习的教案应符合真实项目、岗位实践教学实际。每次课的教案按序逐一标明序号，合并为一个文件提交。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（二）教学实施报告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  <w:lang w:val="en-US" w:eastAsia="zh-CN"/>
        </w:rPr>
        <w:t>教学团队针对本课程教学实践中的问题开展研究和实践，完成教学设计、实施课堂教学，撰写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份教学实施报告。报告应总结参赛内容的教学整体设计、教学实施过程、学生学习效果、反思改进措施等方面情况，突出重点和特色，体现创新举措和具体成效，可用图表加以佐证。中文字符在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5000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字以内（文末注明正文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“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中文字符统计数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”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），插入的图表应有针对性、有效性，文字清晰可见，图表合计不超过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12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张，单张图表原则上不超过半页。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（三）专业人才培养方案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  <w:lang w:val="en-US" w:eastAsia="zh-CN"/>
        </w:rPr>
        <w:t>教学团队提交学校及时修订和实际使用的专业人才培养方案。专业人才培养方案应按照《教育部关于职业院校专业人才培养方案制订与实施工作的指导意见》（教职成〔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2019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〕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13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号）《关于组织做好职业院校专业人才培养方案制订与实施工作的通知》（教职成司函〔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2019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〕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61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号）《教育部关于印发〈职业教育专业目录（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2021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年）〉的通知》（教职成〔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2021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〕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号）和《职业教育专业简介（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2022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年修订）》有关要求制定或修订。公共基础课程组只需提交授课班级所在专业的人才培养方案；跨校组建的教学团队，只需提交团队负责人所在学校的专业人才培养方案。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（四）课程标准</w:t>
      </w:r>
    </w:p>
    <w:p>
      <w:pPr>
        <w:overflowPunct w:val="0"/>
        <w:spacing w:line="360" w:lineRule="auto"/>
        <w:ind w:firstLine="480" w:firstLineChars="200"/>
        <w:outlineLvl w:val="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  <w:lang w:val="en-US" w:eastAsia="zh-CN"/>
        </w:rPr>
        <w:t>教学团队提交参赛班级教学实际使用的课程标准。课程标准应落实职业教育国家教学标准，依据专业人才培养方案的相关要求科学规范制定，明确课程性质与任务、课程目标与要求、课程结构与内容、学生考核与评价、教学实施与保障、授课进程与安排等。公共基础课应执行教育部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2020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年、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2021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年印发的相应课程标准，参赛团队须提交执行部颁课程标准的实施方案，对课标中未覆盖的部分（如基础模块的职场情境任务、拓展模块的具体内容、各模块的授课进程安排等）予以重点说明。在提交的课程标准（或实施方案）中，应另附参赛班级授课计划表（注明授课日期、学时）</w:t>
      </w:r>
      <w:r>
        <w:rPr>
          <w:rFonts w:hint="eastAsia" w:asciiTheme="minorEastAsia" w:hAnsiTheme="minorEastAsia"/>
          <w:sz w:val="24"/>
          <w:szCs w:val="21"/>
        </w:rPr>
        <w:t>。</w:t>
      </w:r>
    </w:p>
    <w:p>
      <w:pPr>
        <w:overflowPunct w:val="0"/>
        <w:spacing w:line="360" w:lineRule="auto"/>
        <w:ind w:firstLine="482" w:firstLineChars="200"/>
        <w:outlineLvl w:val="0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二、参赛作品视频</w:t>
      </w:r>
      <w:r>
        <w:rPr>
          <w:rFonts w:hint="eastAsia" w:asciiTheme="minorEastAsia" w:hAnsiTheme="minorEastAsia"/>
          <w:b/>
          <w:sz w:val="24"/>
          <w:szCs w:val="21"/>
        </w:rPr>
        <w:t>材料</w:t>
      </w:r>
    </w:p>
    <w:p>
      <w:pPr>
        <w:overflowPunct w:val="0"/>
        <w:spacing w:line="360" w:lineRule="auto"/>
        <w:ind w:firstLine="480" w:firstLineChars="200"/>
        <w:outlineLvl w:val="0"/>
        <w:rPr>
          <w:rFonts w:hint="eastAsia" w:asciiTheme="minorEastAsia" w:hAnsiTheme="minorEastAsia"/>
          <w:sz w:val="24"/>
          <w:szCs w:val="21"/>
        </w:rPr>
      </w:pPr>
      <w:bookmarkStart w:id="0" w:name="_Hlk9763296"/>
      <w:r>
        <w:rPr>
          <w:rFonts w:hint="eastAsia" w:asciiTheme="minorEastAsia" w:hAnsiTheme="minorEastAsia"/>
          <w:sz w:val="24"/>
          <w:szCs w:val="21"/>
          <w:lang w:val="en-US" w:eastAsia="zh-CN"/>
        </w:rPr>
        <w:t>教学团队按照教学设计实施课堂教学（或专周实习实训、岗位实习教学），每人录制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1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学时（具体时长与教案中的学时安排保持一致）的课堂教学视频。课堂教学应在实际教学场所，班级全体学生参加（实施分班教学需有说明）。课堂教学视频应呈现课程属性特质、反映团队成员教学风格。专业课程二组至少有</w:t>
      </w:r>
      <w:r>
        <w:rPr>
          <w:rFonts w:hint="default" w:asciiTheme="minorEastAsia" w:hAnsiTheme="minorEastAsia"/>
          <w:sz w:val="24"/>
          <w:szCs w:val="21"/>
          <w:lang w:val="en-US" w:eastAsia="zh-CN"/>
        </w:rPr>
        <w:t>2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个视频呈现教师实操演示与教学指导。</w:t>
      </w:r>
    </w:p>
    <w:p>
      <w:pPr>
        <w:overflowPunct w:val="0"/>
        <w:spacing w:line="360" w:lineRule="auto"/>
        <w:ind w:firstLine="480" w:firstLineChars="200"/>
        <w:outlineLvl w:val="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课堂实录视频须采用单机方式全程连续录制，镜头可移动、景别可调整，不得片面追求拍摄效果、不允许另行剪辑及配音，不加片头片尾、字幕注解。采用MP4格式封装，1学时视频文件大小不超过1G</w:t>
      </w:r>
      <w:r>
        <w:rPr>
          <w:rFonts w:hint="eastAsia" w:asciiTheme="minorEastAsia" w:hAnsiTheme="minorEastAsia"/>
          <w:sz w:val="24"/>
          <w:szCs w:val="21"/>
          <w:lang w:eastAsia="zh-CN"/>
        </w:rPr>
        <w:t>。</w:t>
      </w:r>
      <w:r>
        <w:rPr>
          <w:rFonts w:hint="eastAsia" w:asciiTheme="minorEastAsia" w:hAnsiTheme="minorEastAsia"/>
          <w:sz w:val="24"/>
          <w:szCs w:val="21"/>
        </w:rPr>
        <w:t>每段视频文件以“教案序号+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第几学时+</w:t>
      </w:r>
      <w:r>
        <w:rPr>
          <w:rFonts w:hint="eastAsia" w:asciiTheme="minorEastAsia" w:hAnsiTheme="minorEastAsia"/>
          <w:sz w:val="24"/>
          <w:szCs w:val="21"/>
        </w:rPr>
        <w:t>教案页码+教学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环节</w:t>
      </w:r>
      <w:r>
        <w:rPr>
          <w:rFonts w:hint="eastAsia" w:asciiTheme="minorEastAsia" w:hAnsiTheme="minorEastAsia"/>
          <w:sz w:val="24"/>
          <w:szCs w:val="21"/>
        </w:rPr>
        <w:t>名称”来命名，（其中教案页码以教案 PDF 文件顶部显示的页码为准）。</w:t>
      </w:r>
    </w:p>
    <w:p>
      <w:pPr>
        <w:overflowPunct w:val="0"/>
        <w:spacing w:line="360" w:lineRule="auto"/>
        <w:ind w:firstLine="480" w:firstLineChars="200"/>
        <w:outlineLvl w:val="0"/>
        <w:rPr>
          <w:rFonts w:hint="eastAsia" w:asciiTheme="minorEastAsia" w:hAnsiTheme="minorEastAsia"/>
          <w:sz w:val="24"/>
          <w:szCs w:val="21"/>
        </w:rPr>
      </w:pPr>
      <w:r>
        <w:rPr>
          <w:rFonts w:hint="eastAsia" w:asciiTheme="minorEastAsia" w:hAnsiTheme="minorEastAsia"/>
          <w:sz w:val="24"/>
          <w:szCs w:val="21"/>
        </w:rPr>
        <w:t>视频采用H.264/AVC编码格式压缩；动态码流的码率不低于1024Kbps；分辨率设定为 1280×720 （高清 16：9 拍摄） 或 720×576（标清 4:3 拍摄）；帧速率为25帧/秒。音频采用AAC格式压缩；采样率48KHz；比特率（码流）128Kbps。</w:t>
      </w:r>
    </w:p>
    <w:p>
      <w:pPr>
        <w:overflowPunct w:val="0"/>
        <w:spacing w:line="360" w:lineRule="auto"/>
        <w:ind w:firstLine="482" w:firstLineChars="200"/>
        <w:outlineLvl w:val="0"/>
        <w:rPr>
          <w:rFonts w:asciiTheme="minorEastAsia" w:hAnsiTheme="minorEastAsia"/>
          <w:b/>
          <w:color w:val="auto"/>
          <w:sz w:val="24"/>
          <w:szCs w:val="21"/>
        </w:rPr>
      </w:pPr>
      <w:r>
        <w:rPr>
          <w:rFonts w:hint="eastAsia" w:asciiTheme="minorEastAsia" w:hAnsiTheme="minorEastAsia"/>
          <w:b/>
          <w:color w:val="auto"/>
          <w:sz w:val="24"/>
          <w:szCs w:val="21"/>
          <w:lang w:eastAsia="zh-CN"/>
        </w:rPr>
        <w:t>三</w:t>
      </w:r>
      <w:r>
        <w:rPr>
          <w:rFonts w:asciiTheme="minorEastAsia" w:hAnsiTheme="minorEastAsia"/>
          <w:b/>
          <w:color w:val="auto"/>
          <w:sz w:val="24"/>
          <w:szCs w:val="21"/>
        </w:rPr>
        <w:t>、</w:t>
      </w:r>
      <w:r>
        <w:rPr>
          <w:rFonts w:hint="eastAsia" w:asciiTheme="minorEastAsia" w:hAnsiTheme="minorEastAsia"/>
          <w:b/>
          <w:color w:val="auto"/>
          <w:sz w:val="24"/>
          <w:szCs w:val="21"/>
        </w:rPr>
        <w:t>宣传</w:t>
      </w:r>
      <w:r>
        <w:rPr>
          <w:rFonts w:asciiTheme="minorEastAsia" w:hAnsiTheme="minorEastAsia"/>
          <w:b/>
          <w:color w:val="auto"/>
          <w:sz w:val="24"/>
          <w:szCs w:val="21"/>
        </w:rPr>
        <w:t>案例</w:t>
      </w:r>
    </w:p>
    <w:p>
      <w:pPr>
        <w:shd w:val="clear" w:color="auto" w:fill="FFFFFF"/>
        <w:spacing w:line="360" w:lineRule="auto"/>
        <w:ind w:firstLine="480" w:firstLineChars="200"/>
        <w:jc w:val="left"/>
        <w:rPr>
          <w:rFonts w:cs="Arial" w:asciiTheme="minorEastAsia" w:hAnsiTheme="minorEastAsia"/>
          <w:color w:val="auto"/>
          <w:kern w:val="0"/>
          <w:sz w:val="24"/>
          <w:szCs w:val="28"/>
        </w:rPr>
      </w:pPr>
      <w:r>
        <w:rPr>
          <w:rFonts w:hint="eastAsia" w:cs="Arial" w:asciiTheme="minorEastAsia" w:hAnsiTheme="minorEastAsia"/>
          <w:color w:val="auto"/>
          <w:kern w:val="0"/>
          <w:sz w:val="24"/>
          <w:szCs w:val="28"/>
        </w:rPr>
        <w:t>案例不作为评分依据，仅用作对参赛作品的宣传、推介。</w:t>
      </w:r>
    </w:p>
    <w:p>
      <w:pPr>
        <w:overflowPunct w:val="0"/>
        <w:spacing w:line="360" w:lineRule="auto"/>
        <w:ind w:firstLine="482" w:firstLineChars="200"/>
        <w:rPr>
          <w:rFonts w:asciiTheme="minorEastAsia" w:hAnsiTheme="minorEastAsia"/>
          <w:b/>
          <w:color w:val="auto"/>
          <w:sz w:val="24"/>
          <w:szCs w:val="21"/>
        </w:rPr>
      </w:pPr>
      <w:r>
        <w:rPr>
          <w:rFonts w:hint="eastAsia" w:cs="Arial" w:asciiTheme="minorEastAsia" w:hAnsiTheme="minorEastAsia"/>
          <w:b/>
          <w:color w:val="auto"/>
          <w:kern w:val="0"/>
          <w:sz w:val="24"/>
          <w:szCs w:val="28"/>
        </w:rPr>
        <w:t>（一）</w:t>
      </w:r>
      <w:r>
        <w:rPr>
          <w:rFonts w:cs="Arial" w:asciiTheme="minorEastAsia" w:hAnsiTheme="minorEastAsia"/>
          <w:b/>
          <w:color w:val="auto"/>
          <w:kern w:val="0"/>
          <w:sz w:val="24"/>
          <w:szCs w:val="28"/>
        </w:rPr>
        <w:t>课程思政教育案例</w:t>
      </w:r>
    </w:p>
    <w:p>
      <w:pPr>
        <w:overflowPunct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szCs w:val="21"/>
        </w:rPr>
      </w:pPr>
      <w:r>
        <w:rPr>
          <w:rFonts w:asciiTheme="minorEastAsia" w:hAnsiTheme="minorEastAsia"/>
          <w:color w:val="auto"/>
          <w:sz w:val="24"/>
          <w:szCs w:val="21"/>
        </w:rPr>
        <w:t xml:space="preserve"> </w:t>
      </w:r>
      <w:r>
        <w:rPr>
          <w:rFonts w:hint="eastAsia" w:asciiTheme="minorEastAsia" w:hAnsiTheme="minorEastAsia"/>
          <w:color w:val="auto"/>
          <w:sz w:val="24"/>
          <w:szCs w:val="21"/>
        </w:rPr>
        <w:t>根据参赛课程，撰写1份课程思政教育案例（思政课程侧重育人案例）。</w:t>
      </w:r>
      <w:r>
        <w:rPr>
          <w:rFonts w:asciiTheme="minorEastAsia" w:hAnsiTheme="minorEastAsia"/>
          <w:color w:val="auto"/>
          <w:sz w:val="24"/>
          <w:szCs w:val="21"/>
        </w:rPr>
        <w:t>挖掘课程中蕴涵的思政元素，将思想价值引领贯穿于教育教学全过程，实现价值性和知识性的统一，强化正确的政治方向，突出价值引领，具有较强的针对性、时效性、创新性、示范性和可推广性。</w:t>
      </w:r>
      <w:r>
        <w:rPr>
          <w:rFonts w:hint="eastAsia" w:asciiTheme="minorEastAsia" w:hAnsiTheme="minorEastAsia"/>
          <w:color w:val="auto"/>
          <w:sz w:val="24"/>
          <w:szCs w:val="21"/>
        </w:rPr>
        <w:t>中文字符在</w:t>
      </w:r>
      <w:r>
        <w:rPr>
          <w:rFonts w:asciiTheme="minorEastAsia" w:hAnsiTheme="minorEastAsia"/>
          <w:color w:val="auto"/>
          <w:sz w:val="24"/>
          <w:szCs w:val="21"/>
        </w:rPr>
        <w:t>3000字</w:t>
      </w:r>
      <w:r>
        <w:rPr>
          <w:rFonts w:hint="eastAsia" w:asciiTheme="minorEastAsia" w:hAnsiTheme="minorEastAsia"/>
          <w:color w:val="auto"/>
          <w:sz w:val="24"/>
          <w:szCs w:val="21"/>
        </w:rPr>
        <w:t>以内，插入的图表一般不超过1</w:t>
      </w:r>
      <w:r>
        <w:rPr>
          <w:rFonts w:asciiTheme="minorEastAsia" w:hAnsiTheme="minorEastAsia"/>
          <w:color w:val="auto"/>
          <w:sz w:val="24"/>
          <w:szCs w:val="21"/>
        </w:rPr>
        <w:t>0</w:t>
      </w:r>
      <w:r>
        <w:rPr>
          <w:rFonts w:hint="eastAsia" w:asciiTheme="minorEastAsia" w:hAnsiTheme="minorEastAsia"/>
          <w:color w:val="auto"/>
          <w:sz w:val="24"/>
          <w:szCs w:val="21"/>
        </w:rPr>
        <w:t>张</w:t>
      </w:r>
      <w:r>
        <w:rPr>
          <w:rFonts w:asciiTheme="minorEastAsia" w:hAnsiTheme="minorEastAsia"/>
          <w:color w:val="auto"/>
          <w:sz w:val="24"/>
          <w:szCs w:val="21"/>
        </w:rPr>
        <w:t>。</w:t>
      </w:r>
    </w:p>
    <w:p>
      <w:pPr>
        <w:overflowPunct w:val="0"/>
        <w:spacing w:line="360" w:lineRule="auto"/>
        <w:ind w:firstLine="482" w:firstLineChars="200"/>
        <w:rPr>
          <w:rFonts w:cs="Arial" w:asciiTheme="minorEastAsia" w:hAnsiTheme="minorEastAsia"/>
          <w:b/>
          <w:color w:val="auto"/>
          <w:kern w:val="0"/>
          <w:sz w:val="24"/>
          <w:szCs w:val="28"/>
        </w:rPr>
      </w:pPr>
      <w:r>
        <w:rPr>
          <w:rFonts w:hint="eastAsia" w:asciiTheme="minorEastAsia" w:hAnsiTheme="minorEastAsia"/>
          <w:b/>
          <w:color w:val="auto"/>
          <w:sz w:val="24"/>
          <w:szCs w:val="21"/>
        </w:rPr>
        <w:t>（二）</w:t>
      </w:r>
      <w:r>
        <w:rPr>
          <w:rFonts w:cs="Arial" w:asciiTheme="minorEastAsia" w:hAnsiTheme="minorEastAsia"/>
          <w:b/>
          <w:color w:val="auto"/>
          <w:kern w:val="0"/>
          <w:sz w:val="24"/>
          <w:szCs w:val="28"/>
        </w:rPr>
        <w:t>课堂革命典型案例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/>
          <w:b/>
          <w:color w:val="auto"/>
          <w:sz w:val="24"/>
          <w:szCs w:val="21"/>
          <w:lang w:eastAsia="zh-CN"/>
        </w:rPr>
      </w:pPr>
      <w:r>
        <w:rPr>
          <w:rFonts w:hint="eastAsia" w:asciiTheme="minorEastAsia" w:hAnsiTheme="minorEastAsia"/>
          <w:color w:val="auto"/>
          <w:sz w:val="24"/>
          <w:szCs w:val="21"/>
        </w:rPr>
        <w:t>根据参赛课程，撰写1份课堂革命典型案例。紧密围绕职业院校“课堂革命”的基本要求，体现具有创新性、突破性、实效性、典型性的政策、举措和经验。主题突出、层次分明、特色鲜明、资料</w:t>
      </w:r>
      <w:r>
        <w:rPr>
          <w:rFonts w:hint="eastAsia" w:asciiTheme="minorEastAsia" w:hAnsiTheme="minorEastAsia"/>
          <w:color w:val="auto"/>
          <w:sz w:val="24"/>
          <w:szCs w:val="21"/>
          <w:lang w:eastAsia="zh-CN"/>
        </w:rPr>
        <w:t>详实</w:t>
      </w:r>
      <w:r>
        <w:rPr>
          <w:rFonts w:hint="eastAsia" w:asciiTheme="minorEastAsia" w:hAnsiTheme="minorEastAsia"/>
          <w:color w:val="auto"/>
          <w:sz w:val="24"/>
          <w:szCs w:val="21"/>
        </w:rPr>
        <w:t>。中文字符在</w:t>
      </w:r>
      <w:r>
        <w:rPr>
          <w:rFonts w:asciiTheme="minorEastAsia" w:hAnsiTheme="minorEastAsia"/>
          <w:color w:val="auto"/>
          <w:sz w:val="24"/>
          <w:szCs w:val="21"/>
        </w:rPr>
        <w:t>3000字</w:t>
      </w:r>
      <w:r>
        <w:rPr>
          <w:rFonts w:hint="eastAsia" w:asciiTheme="minorEastAsia" w:hAnsiTheme="minorEastAsia"/>
          <w:color w:val="auto"/>
          <w:sz w:val="24"/>
          <w:szCs w:val="21"/>
        </w:rPr>
        <w:t>以内，插入的图表一般不超过10张</w:t>
      </w:r>
      <w:r>
        <w:rPr>
          <w:rFonts w:asciiTheme="minorEastAsia" w:hAnsiTheme="minorEastAsia"/>
          <w:color w:val="auto"/>
          <w:sz w:val="24"/>
          <w:szCs w:val="21"/>
        </w:rPr>
        <w:t>。</w:t>
      </w:r>
    </w:p>
    <w:p>
      <w:pPr>
        <w:overflowPunct w:val="0"/>
        <w:spacing w:line="360" w:lineRule="auto"/>
        <w:ind w:firstLine="482" w:firstLineChars="200"/>
        <w:outlineLvl w:val="0"/>
        <w:rPr>
          <w:rFonts w:asciiTheme="minorEastAsia" w:hAnsiTheme="minorEastAsia"/>
          <w:b/>
          <w:sz w:val="24"/>
          <w:szCs w:val="21"/>
        </w:rPr>
      </w:pPr>
      <w:r>
        <w:rPr>
          <w:rFonts w:hint="eastAsia" w:asciiTheme="minorEastAsia" w:hAnsiTheme="minorEastAsia"/>
          <w:b/>
          <w:sz w:val="24"/>
          <w:szCs w:val="21"/>
          <w:lang w:eastAsia="zh-CN"/>
        </w:rPr>
        <w:t>四</w:t>
      </w:r>
      <w:r>
        <w:rPr>
          <w:rFonts w:asciiTheme="minorEastAsia" w:hAnsiTheme="minorEastAsia"/>
          <w:b/>
          <w:sz w:val="24"/>
          <w:szCs w:val="21"/>
        </w:rPr>
        <w:t>、决赛</w:t>
      </w:r>
      <w:r>
        <w:rPr>
          <w:rFonts w:hint="eastAsia" w:asciiTheme="minorEastAsia" w:hAnsiTheme="minorEastAsia"/>
          <w:b/>
          <w:sz w:val="24"/>
          <w:szCs w:val="21"/>
        </w:rPr>
        <w:t>程序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color w:val="auto"/>
          <w:sz w:val="24"/>
          <w:szCs w:val="21"/>
        </w:rPr>
      </w:pPr>
      <w:bookmarkStart w:id="1" w:name="_Hlk9724658"/>
      <w:r>
        <w:rPr>
          <w:rFonts w:asciiTheme="minorEastAsia" w:hAnsiTheme="minorEastAsia"/>
          <w:b/>
          <w:color w:val="auto"/>
          <w:sz w:val="24"/>
          <w:szCs w:val="21"/>
        </w:rPr>
        <w:t>（一）赛前准备</w:t>
      </w:r>
    </w:p>
    <w:p>
      <w:pPr>
        <w:overflowPunct w:val="0"/>
        <w:spacing w:line="360" w:lineRule="auto"/>
        <w:ind w:firstLine="480" w:firstLineChars="200"/>
        <w:rPr>
          <w:rFonts w:hint="eastAsia" w:asciiTheme="minorEastAsia" w:hAnsiTheme="minorEastAsia"/>
          <w:color w:val="auto"/>
          <w:sz w:val="24"/>
          <w:szCs w:val="21"/>
        </w:rPr>
      </w:pPr>
      <w:r>
        <w:rPr>
          <w:rFonts w:hint="eastAsia" w:asciiTheme="minorEastAsia" w:hAnsiTheme="minorEastAsia"/>
          <w:color w:val="auto"/>
          <w:sz w:val="24"/>
          <w:szCs w:val="21"/>
        </w:rPr>
        <w:t>1.入围决赛的教学团队赛前一天熟悉赛场，</w:t>
      </w:r>
      <w:r>
        <w:rPr>
          <w:rFonts w:hint="eastAsia" w:asciiTheme="minorEastAsia" w:hAnsiTheme="minorEastAsia"/>
          <w:color w:val="auto"/>
          <w:sz w:val="24"/>
          <w:szCs w:val="21"/>
          <w:lang w:val="en-US" w:eastAsia="zh-CN"/>
        </w:rPr>
        <w:t>并测试设备，</w:t>
      </w:r>
      <w:r>
        <w:rPr>
          <w:rFonts w:hint="eastAsia" w:asciiTheme="minorEastAsia" w:hAnsiTheme="minorEastAsia"/>
          <w:color w:val="auto"/>
          <w:sz w:val="24"/>
          <w:szCs w:val="21"/>
        </w:rPr>
        <w:t>抽签决定</w:t>
      </w:r>
      <w:r>
        <w:rPr>
          <w:rFonts w:hint="eastAsia" w:asciiTheme="minorEastAsia" w:hAnsiTheme="minorEastAsia"/>
          <w:color w:val="auto"/>
          <w:sz w:val="24"/>
          <w:szCs w:val="21"/>
          <w:lang w:val="en-US" w:eastAsia="zh-CN"/>
        </w:rPr>
        <w:t>比赛</w:t>
      </w:r>
      <w:r>
        <w:rPr>
          <w:rFonts w:hint="eastAsia" w:asciiTheme="minorEastAsia" w:hAnsiTheme="minorEastAsia"/>
          <w:color w:val="auto"/>
          <w:sz w:val="24"/>
          <w:szCs w:val="21"/>
        </w:rPr>
        <w:t>场次。</w:t>
      </w:r>
    </w:p>
    <w:p>
      <w:pPr>
        <w:overflowPunct w:val="0"/>
        <w:spacing w:line="360" w:lineRule="auto"/>
        <w:ind w:firstLine="480" w:firstLineChars="200"/>
        <w:rPr>
          <w:rFonts w:asciiTheme="minorEastAsia" w:hAnsiTheme="minorEastAsia"/>
          <w:color w:val="auto"/>
          <w:sz w:val="24"/>
          <w:szCs w:val="21"/>
        </w:rPr>
      </w:pPr>
      <w:r>
        <w:rPr>
          <w:rFonts w:hint="eastAsia" w:asciiTheme="minorEastAsia" w:hAnsiTheme="minorEastAsia"/>
          <w:color w:val="auto"/>
          <w:sz w:val="24"/>
          <w:szCs w:val="21"/>
        </w:rPr>
        <w:t>2.决赛当天，教学团队</w:t>
      </w:r>
      <w:r>
        <w:rPr>
          <w:rFonts w:hint="eastAsia" w:asciiTheme="minorEastAsia" w:hAnsiTheme="minorEastAsia"/>
          <w:color w:val="auto"/>
          <w:sz w:val="24"/>
          <w:szCs w:val="21"/>
          <w:lang w:val="en-US" w:eastAsia="zh-CN"/>
        </w:rPr>
        <w:t>自选1</w:t>
      </w:r>
      <w:r>
        <w:rPr>
          <w:rFonts w:hint="eastAsia" w:asciiTheme="minorEastAsia" w:hAnsiTheme="minorEastAsia"/>
          <w:color w:val="auto"/>
          <w:sz w:val="24"/>
          <w:szCs w:val="21"/>
        </w:rPr>
        <w:t>份教案，自选其中部分内容进行准备。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color w:val="auto"/>
          <w:sz w:val="24"/>
          <w:szCs w:val="21"/>
        </w:rPr>
      </w:pPr>
      <w:r>
        <w:rPr>
          <w:rFonts w:asciiTheme="minorEastAsia" w:hAnsiTheme="minorEastAsia"/>
          <w:b/>
          <w:color w:val="auto"/>
          <w:sz w:val="24"/>
          <w:szCs w:val="21"/>
        </w:rPr>
        <w:t>（二）</w:t>
      </w:r>
      <w:r>
        <w:rPr>
          <w:rFonts w:hint="eastAsia" w:asciiTheme="minorEastAsia" w:hAnsiTheme="minorEastAsia"/>
          <w:b/>
          <w:color w:val="auto"/>
          <w:sz w:val="24"/>
          <w:szCs w:val="21"/>
        </w:rPr>
        <w:t>内容介绍与教学展示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  <w:t>1.教学团队按时进入比赛室，首先简要介绍教学实施报告的主要内容、创新特色；然后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  <w:lang w:val="en-US" w:eastAsia="zh-CN"/>
        </w:rPr>
        <w:t>由一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  <w:t>名参赛教师针对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  <w:lang w:val="en-US" w:eastAsia="zh-CN"/>
        </w:rPr>
        <w:t>自选</w:t>
      </w:r>
      <w:bookmarkStart w:id="2" w:name="_GoBack"/>
      <w:bookmarkEnd w:id="2"/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  <w:t>教案中的自选内容进行无学生教学展示（如，新知讲解、示范操作、学习结果分析、课堂教学小结等），教学展示应符合无学生教学情境。</w:t>
      </w:r>
    </w:p>
    <w:p>
      <w:pPr>
        <w:overflowPunct w:val="0"/>
        <w:spacing w:line="360" w:lineRule="auto"/>
        <w:ind w:firstLine="480" w:firstLineChars="200"/>
        <w:outlineLvl w:val="1"/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</w:pP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  <w:t>2.介绍教学实施报告时间不超过8分钟，无学生教学展示时间不超过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  <w:lang w:val="en-US" w:eastAsia="zh-CN"/>
        </w:rPr>
        <w:t>5</w:t>
      </w:r>
      <w:r>
        <w:rPr>
          <w:rFonts w:hint="eastAsia" w:asciiTheme="minorEastAsia" w:hAnsiTheme="minorEastAsia"/>
          <w:b w:val="0"/>
          <w:bCs w:val="0"/>
          <w:color w:val="auto"/>
          <w:sz w:val="24"/>
          <w:szCs w:val="21"/>
        </w:rPr>
        <w:t>分钟。期间另外安排换场准备。</w:t>
      </w:r>
    </w:p>
    <w:p>
      <w:pPr>
        <w:overflowPunct w:val="0"/>
        <w:spacing w:line="360" w:lineRule="auto"/>
        <w:ind w:firstLine="482" w:firstLineChars="200"/>
        <w:outlineLvl w:val="1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/>
          <w:b/>
          <w:sz w:val="24"/>
          <w:szCs w:val="21"/>
        </w:rPr>
        <w:t>（三）答辩</w:t>
      </w:r>
    </w:p>
    <w:bookmarkEnd w:id="0"/>
    <w:bookmarkEnd w:id="1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</w:pPr>
      <w:r>
        <w:rPr>
          <w:rFonts w:hint="eastAsia" w:asciiTheme="minorEastAsia" w:hAnsiTheme="minorEastAsia"/>
          <w:sz w:val="24"/>
          <w:szCs w:val="21"/>
        </w:rPr>
        <w:t>团队成员完成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实施报告</w:t>
      </w:r>
      <w:r>
        <w:rPr>
          <w:rFonts w:hint="eastAsia" w:asciiTheme="minorEastAsia" w:hAnsiTheme="minorEastAsia"/>
          <w:sz w:val="24"/>
          <w:szCs w:val="21"/>
        </w:rPr>
        <w:t>内容介绍与教学展示后等待评委出题，回答3个问题，时间不超过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1"/>
        </w:rPr>
        <w:t>分钟。问题涉及职业教育宏观政策、教育教学理念、教育教学方法等方面的内容</w:t>
      </w:r>
      <w:r>
        <w:rPr>
          <w:rFonts w:hint="eastAsia" w:asciiTheme="minorEastAsia" w:hAnsiTheme="minorEastAsia"/>
          <w:sz w:val="24"/>
          <w:szCs w:val="21"/>
          <w:lang w:val="en-US" w:eastAsia="zh-CN"/>
        </w:rPr>
        <w:t>和</w:t>
      </w:r>
      <w:r>
        <w:rPr>
          <w:rFonts w:hint="eastAsia" w:asciiTheme="minorEastAsia" w:hAnsiTheme="minorEastAsia"/>
          <w:sz w:val="24"/>
          <w:szCs w:val="21"/>
        </w:rPr>
        <w:t>参赛内容涉及的理念、策略、模式、目标、成效、创新点，以及学科专业领域的素质、知识、技能等内容。教学团队回答问题时，可以展示佐证资料；评委不再复述或解读，在时间允许的情况下，评委可以追问；未参与教学展示和报告介绍的团队成员，必须参与答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Y2EwYWM2Yzc0YzQ3OWQ1NmY4ZGE0MDA1MDhkN2YifQ=="/>
    <w:docVar w:name="KSO_WPS_MARK_KEY" w:val="1b41c4b1-ae61-4c7a-90f6-eae0a66bc39c"/>
  </w:docVars>
  <w:rsids>
    <w:rsidRoot w:val="00000000"/>
    <w:rsid w:val="02D11228"/>
    <w:rsid w:val="0ECA433F"/>
    <w:rsid w:val="14FB2A74"/>
    <w:rsid w:val="1CD60000"/>
    <w:rsid w:val="1D04578D"/>
    <w:rsid w:val="1F372E5F"/>
    <w:rsid w:val="1F437BEB"/>
    <w:rsid w:val="21BD57BC"/>
    <w:rsid w:val="2279676C"/>
    <w:rsid w:val="2360418A"/>
    <w:rsid w:val="241017E8"/>
    <w:rsid w:val="256D7750"/>
    <w:rsid w:val="281A63CB"/>
    <w:rsid w:val="3577530B"/>
    <w:rsid w:val="42C17B07"/>
    <w:rsid w:val="43811C6D"/>
    <w:rsid w:val="4E8A5B90"/>
    <w:rsid w:val="553E776B"/>
    <w:rsid w:val="55A41C2D"/>
    <w:rsid w:val="595B4CF8"/>
    <w:rsid w:val="630A2513"/>
    <w:rsid w:val="69A6600B"/>
    <w:rsid w:val="72567431"/>
    <w:rsid w:val="7D25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2322</Words>
  <Characters>2418</Characters>
  <Lines>0</Lines>
  <Paragraphs>0</Paragraphs>
  <TotalTime>2</TotalTime>
  <ScaleCrop>false</ScaleCrop>
  <LinksUpToDate>false</LinksUpToDate>
  <CharactersWithSpaces>2429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2022-01-07T00:53:00Z</dcterms:created>
  <dc:creator>Administrator</dc:creator>
  <cp:lastModifiedBy>景</cp:lastModifiedBy>
  <cp:lastPrinted>2022-01-07T07:10:00Z</cp:lastPrinted>
  <dcterms:modified xsi:type="dcterms:W3CDTF">2025-02-21T07:40:00Z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0B9A9EB8A0C24905BEFCC5914E67A0EB</vt:lpwstr>
  </property>
</Properties>
</file>